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57BA" w14:textId="2FDF56E0" w:rsidR="00446C27" w:rsidRPr="009F06AB" w:rsidRDefault="00F17F95" w:rsidP="007460F9">
      <w:pPr>
        <w:tabs>
          <w:tab w:val="left" w:pos="243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12 de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noviembre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460F9" w:rsidRPr="009F06AB">
        <w:rPr>
          <w:rFonts w:asciiTheme="minorHAnsi" w:hAnsiTheme="minorHAnsi" w:cstheme="minorHAnsi"/>
          <w:sz w:val="22"/>
          <w:szCs w:val="22"/>
          <w:lang w:val="es-ES_tradnl"/>
        </w:rPr>
        <w:t>2021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F06AB">
        <w:rPr>
          <w:rFonts w:asciiTheme="minorHAnsi" w:hAnsiTheme="minorHAnsi" w:cstheme="minorHAnsi"/>
          <w:color w:val="C00000"/>
          <w:highlight w:val="yellow"/>
          <w:bdr w:val="single" w:sz="4" w:space="0" w:color="263F6A" w:themeColor="accent1"/>
          <w:lang w:val="es-ES_tradnl"/>
        </w:rPr>
        <w:t>INFORMACIÓN IMPORTANTE SOBRE SU CUENTA DE UTILIDADES</w:t>
      </w:r>
      <w:r w:rsidRPr="009F06AB">
        <w:rPr>
          <w:rFonts w:asciiTheme="minorHAnsi" w:hAnsiTheme="minorHAnsi" w:cstheme="minorHAnsi"/>
          <w:color w:val="C00000"/>
          <w:sz w:val="28"/>
          <w:szCs w:val="28"/>
          <w:highlight w:val="yellow"/>
          <w:bdr w:val="single" w:sz="4" w:space="0" w:color="263F6A" w:themeColor="accent1"/>
          <w:lang w:val="es-ES_tradnl"/>
        </w:rPr>
        <w:t xml:space="preserve"> </w:t>
      </w:r>
    </w:p>
    <w:p w14:paraId="2C5DA246" w14:textId="5F822D91" w:rsidR="00F40B77" w:rsidRPr="004C1550" w:rsidRDefault="00333E4D" w:rsidP="00A34F7A">
      <w:pPr>
        <w:tabs>
          <w:tab w:val="left" w:pos="540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4C1550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4C1550">
        <w:rPr>
          <w:rFonts w:asciiTheme="minorHAnsi" w:hAnsiTheme="minorHAnsi" w:cstheme="minorHAnsi"/>
          <w:sz w:val="22"/>
          <w:szCs w:val="22"/>
        </w:rPr>
        <w:t>first name</w:t>
      </w:r>
      <w:r w:rsidRPr="004C1550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4C1550">
        <w:rPr>
          <w:rFonts w:asciiTheme="minorHAnsi" w:hAnsiTheme="minorHAnsi" w:cstheme="minorHAnsi"/>
          <w:sz w:val="22"/>
          <w:szCs w:val="22"/>
        </w:rPr>
        <w:t>last name</w:t>
      </w:r>
      <w:r w:rsidRPr="004C1550">
        <w:rPr>
          <w:rFonts w:asciiTheme="minorHAnsi" w:hAnsiTheme="minorHAnsi" w:cstheme="minorHAnsi"/>
          <w:sz w:val="22"/>
          <w:szCs w:val="22"/>
        </w:rPr>
        <w:t>&gt;</w:t>
      </w:r>
      <w:r w:rsidRPr="004C15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17F95" w:rsidRPr="004C1550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="00F17F95" w:rsidRPr="004C155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F17F95" w:rsidRPr="004C1550">
        <w:rPr>
          <w:rFonts w:asciiTheme="minorHAnsi" w:hAnsiTheme="minorHAnsi" w:cstheme="minorHAnsi"/>
          <w:sz w:val="22"/>
          <w:szCs w:val="22"/>
        </w:rPr>
        <w:t>Utilidades</w:t>
      </w:r>
      <w:proofErr w:type="spellEnd"/>
      <w:r w:rsidR="00F17F95" w:rsidRPr="004C1550">
        <w:rPr>
          <w:rFonts w:asciiTheme="minorHAnsi" w:hAnsiTheme="minorHAnsi" w:cstheme="minorHAnsi"/>
          <w:sz w:val="22"/>
          <w:szCs w:val="22"/>
        </w:rPr>
        <w:t xml:space="preserve"> No. </w:t>
      </w:r>
      <w:r w:rsidRPr="004C1550">
        <w:rPr>
          <w:rFonts w:asciiTheme="minorHAnsi" w:hAnsiTheme="minorHAnsi" w:cstheme="minorHAnsi"/>
          <w:sz w:val="22"/>
          <w:szCs w:val="22"/>
        </w:rPr>
        <w:t xml:space="preserve"> &lt;account&gt;</w:t>
      </w:r>
    </w:p>
    <w:p w14:paraId="3BFC085D" w14:textId="4E6A2B62" w:rsidR="00F40B77" w:rsidRPr="004C1550" w:rsidRDefault="00333E4D" w:rsidP="00A34F7A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C1550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4C1550">
        <w:rPr>
          <w:rFonts w:asciiTheme="minorHAnsi" w:hAnsiTheme="minorHAnsi" w:cstheme="minorHAnsi"/>
          <w:sz w:val="22"/>
          <w:szCs w:val="22"/>
        </w:rPr>
        <w:t>number</w:t>
      </w:r>
      <w:r w:rsidRPr="004C1550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4C1550">
        <w:rPr>
          <w:rFonts w:asciiTheme="minorHAnsi" w:hAnsiTheme="minorHAnsi" w:cstheme="minorHAnsi"/>
          <w:sz w:val="22"/>
          <w:szCs w:val="22"/>
        </w:rPr>
        <w:t>street</w:t>
      </w:r>
      <w:r w:rsidRPr="004C1550">
        <w:rPr>
          <w:rFonts w:asciiTheme="minorHAnsi" w:hAnsiTheme="minorHAnsi" w:cstheme="minorHAnsi"/>
          <w:sz w:val="22"/>
          <w:szCs w:val="22"/>
        </w:rPr>
        <w:t>&gt;&lt;billing unit&gt;</w:t>
      </w:r>
    </w:p>
    <w:p w14:paraId="11610743" w14:textId="04C3FED9" w:rsidR="00F40B77" w:rsidRPr="004C1550" w:rsidRDefault="00333E4D" w:rsidP="00B05202">
      <w:pPr>
        <w:rPr>
          <w:rFonts w:asciiTheme="minorHAnsi" w:hAnsiTheme="minorHAnsi" w:cstheme="minorHAnsi"/>
          <w:sz w:val="22"/>
          <w:szCs w:val="22"/>
        </w:rPr>
      </w:pPr>
      <w:r w:rsidRPr="004C1550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4C1550">
        <w:rPr>
          <w:rFonts w:asciiTheme="minorHAnsi" w:hAnsiTheme="minorHAnsi" w:cstheme="minorHAnsi"/>
          <w:sz w:val="22"/>
          <w:szCs w:val="22"/>
        </w:rPr>
        <w:t>city</w:t>
      </w:r>
      <w:r w:rsidRPr="004C1550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4C1550">
        <w:rPr>
          <w:rFonts w:asciiTheme="minorHAnsi" w:hAnsiTheme="minorHAnsi" w:cstheme="minorHAnsi"/>
          <w:sz w:val="22"/>
          <w:szCs w:val="22"/>
        </w:rPr>
        <w:t>state</w:t>
      </w:r>
      <w:r w:rsidRPr="004C1550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4C1550">
        <w:rPr>
          <w:rFonts w:asciiTheme="minorHAnsi" w:hAnsiTheme="minorHAnsi" w:cstheme="minorHAnsi"/>
          <w:sz w:val="22"/>
          <w:szCs w:val="22"/>
        </w:rPr>
        <w:t>zip</w:t>
      </w:r>
      <w:r w:rsidRPr="004C1550">
        <w:rPr>
          <w:rFonts w:asciiTheme="minorHAnsi" w:hAnsiTheme="minorHAnsi" w:cstheme="minorHAnsi"/>
          <w:sz w:val="22"/>
          <w:szCs w:val="22"/>
        </w:rPr>
        <w:t>&gt;</w:t>
      </w:r>
    </w:p>
    <w:p w14:paraId="03694D5E" w14:textId="6BB47F84" w:rsidR="00446C27" w:rsidRPr="009F06AB" w:rsidRDefault="00F17F95" w:rsidP="00AB2F31">
      <w:pPr>
        <w:spacing w:after="240"/>
        <w:jc w:val="center"/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es-ES_tradnl"/>
        </w:rPr>
      </w:pPr>
      <w:r w:rsidRPr="009F06AB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es-ES_tradnl"/>
        </w:rPr>
        <w:t xml:space="preserve">Utilidades de la Ciudad de </w:t>
      </w:r>
      <w:r w:rsidR="00F40B77" w:rsidRPr="009F06AB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es-ES_tradnl"/>
        </w:rPr>
        <w:t>Lynnwood –</w:t>
      </w:r>
      <w:r w:rsidR="00842A29" w:rsidRPr="009F06AB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es-ES_tradnl"/>
        </w:rPr>
        <w:t xml:space="preserve"> </w:t>
      </w:r>
      <w:r w:rsidRPr="009F06AB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es-ES_tradnl"/>
        </w:rPr>
        <w:t>Nota de Pago atrasado</w:t>
      </w:r>
    </w:p>
    <w:p w14:paraId="4A55812B" w14:textId="1C9FB1EB" w:rsidR="00446C27" w:rsidRPr="009F06AB" w:rsidRDefault="00F17F95" w:rsidP="00B0520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Estimado usuario de utilidades de la Ciudad de </w:t>
      </w:r>
      <w:r w:rsidR="00333E4D" w:rsidRPr="009F06AB">
        <w:rPr>
          <w:rFonts w:asciiTheme="minorHAnsi" w:hAnsiTheme="minorHAnsi" w:cstheme="minorHAnsi"/>
          <w:sz w:val="22"/>
          <w:szCs w:val="22"/>
          <w:lang w:val="es-ES_tradnl"/>
        </w:rPr>
        <w:t>Lynnwood:</w:t>
      </w:r>
    </w:p>
    <w:p w14:paraId="318D6007" w14:textId="4C9C213F" w:rsidR="00333E4D" w:rsidRPr="009F06AB" w:rsidRDefault="00F17F95" w:rsidP="00F17F95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58232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COVID-19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trajo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dificultades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financieras a muchos de los clientes de utilidades de la ciudad. Les estamos escribiendo a nuestros clientes que tiene</w:t>
      </w:r>
      <w:r w:rsidR="004C155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un saldo pendiente de pago en su cuenta para que compartan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información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y para recordarle a usted que su cuenta de utilidades para el servicio de agua, aguas negras y aguas lluvias en </w:t>
      </w:r>
      <w:r w:rsidR="00333E4D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&lt;service number&gt; &lt;service street&gt;&lt;service unit&gt;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tiene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un saldo atrasado de </w:t>
      </w:r>
      <w:r w:rsidR="00333E4D" w:rsidRPr="009F06AB">
        <w:rPr>
          <w:rFonts w:asciiTheme="minorHAnsi" w:hAnsiTheme="minorHAnsi" w:cstheme="minorHAnsi"/>
          <w:b/>
          <w:bCs/>
          <w:color w:val="263F6A" w:themeColor="text2"/>
          <w:sz w:val="22"/>
          <w:szCs w:val="22"/>
          <w:highlight w:val="yellow"/>
          <w:lang w:val="es-ES_tradnl"/>
        </w:rPr>
        <w:t>$&lt;due amount&gt;</w:t>
      </w:r>
      <w:r w:rsidR="00333E4D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. 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El pago es requerido.  Si usted recientemente ha pagado el saldo completo de esta cuenta, por favor ignore esta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notificación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287623F5" w14:textId="23D182F1" w:rsidR="00A0114C" w:rsidRPr="009F06AB" w:rsidRDefault="00F17F95" w:rsidP="00F17F95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Para su </w:t>
      </w:r>
      <w:r w:rsidR="009F06AB"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Información</w:t>
      </w:r>
      <w:r w:rsidR="004D0CB2"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:  </w:t>
      </w:r>
      <w:r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La </w:t>
      </w:r>
      <w:r w:rsidR="009F06AB"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instalación</w:t>
      </w:r>
      <w:r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 de medidores de agua inteligentes a </w:t>
      </w:r>
      <w:r w:rsidR="009F06AB"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través</w:t>
      </w:r>
      <w:r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 de la ciudad ha causado retrasos en la programación normal de los cobros. Esperamos poder regresar a la </w:t>
      </w:r>
      <w:r w:rsidR="009F06AB"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programación</w:t>
      </w:r>
      <w:r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 normal </w:t>
      </w:r>
      <w:r w:rsidR="009F06AB"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más</w:t>
      </w:r>
      <w:r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 </w:t>
      </w:r>
      <w:r w:rsidR="004C1550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adelante </w:t>
      </w:r>
      <w:r w:rsidRPr="009F06AB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durante este mes. </w:t>
      </w:r>
    </w:p>
    <w:p w14:paraId="0EF8A433" w14:textId="5CF00CF6" w:rsidR="00333E4D" w:rsidRPr="009F06AB" w:rsidRDefault="00F17F95" w:rsidP="00A24761">
      <w:pPr>
        <w:jc w:val="both"/>
        <w:rPr>
          <w:rFonts w:asciiTheme="minorHAnsi" w:hAnsiTheme="minorHAnsi" w:cstheme="minorHAnsi"/>
          <w:color w:val="263F6A" w:themeColor="text2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La moratoria del Gobernador </w:t>
      </w:r>
      <w:r w:rsidR="00333E4D" w:rsidRPr="009F06AB">
        <w:rPr>
          <w:rFonts w:asciiTheme="minorHAnsi" w:hAnsiTheme="minorHAnsi" w:cstheme="minorHAnsi"/>
          <w:sz w:val="22"/>
          <w:szCs w:val="22"/>
          <w:lang w:val="es-ES_tradnl"/>
        </w:rPr>
        <w:t>Inslee</w:t>
      </w:r>
      <w:r w:rsidR="007460F9" w:rsidRPr="009F06AB">
        <w:rPr>
          <w:rFonts w:asciiTheme="minorHAnsi" w:hAnsiTheme="minorHAnsi" w:cstheme="minorHAnsi"/>
          <w:sz w:val="22"/>
          <w:szCs w:val="22"/>
          <w:lang w:val="es-ES_tradnl"/>
        </w:rPr>
        <w:t>’s</w:t>
      </w:r>
      <w:r w:rsidR="00333E4D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sobre las desconexiones y multas por pagos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atrasados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de las utilidades expiro el 30 de septiembre 2021. Es importante que la Ciudad reciba su pago por los servicios de utilidades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provistos para su hogar o negocio. Facturas impagas de utilidades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podría</w:t>
      </w:r>
      <w:r w:rsidR="004C155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conllevar un aumento de tarifas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más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alto de lo normal en el futuro. Pronto la Ciudad reiniciara la practica normal de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suspensión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de servicios y/o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imposición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de penalidades o embargos de propiedades.</w:t>
      </w:r>
      <w:r w:rsidR="00FA2E6D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>Ya es tiempo de que usted haga su pago completo o aplique para un plan de pago</w:t>
      </w:r>
      <w:r w:rsidR="00CE4F60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>que le pued</w:t>
      </w:r>
      <w:r w:rsidR="004C1550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ayudar a eliminar su saldo atrasado y evitar las desconexiones y/</w:t>
      </w:r>
      <w:r w:rsidR="009F06AB">
        <w:rPr>
          <w:rFonts w:asciiTheme="minorHAnsi" w:hAnsiTheme="minorHAnsi" w:cstheme="minorHAnsi"/>
          <w:sz w:val="22"/>
          <w:szCs w:val="22"/>
          <w:lang w:val="es-ES_tradnl"/>
        </w:rPr>
        <w:t>u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otras medidas de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enforzamiento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FA2E6D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Una solicitud para un plan de pago esta adjunta. Vea la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próxima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página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para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más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información</w:t>
      </w:r>
      <w:r w:rsidR="00A247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FA2E6D" w:rsidRPr="009F06AB">
        <w:rPr>
          <w:rFonts w:asciiTheme="minorHAnsi" w:hAnsiTheme="minorHAnsi" w:cstheme="minorHAnsi"/>
          <w:color w:val="263F6A" w:themeColor="text2"/>
          <w:sz w:val="22"/>
          <w:szCs w:val="22"/>
          <w:lang w:val="es-ES_tradnl"/>
        </w:rPr>
        <w:sym w:font="Wingdings 3" w:char="F0C6"/>
      </w:r>
    </w:p>
    <w:p w14:paraId="294CFDD0" w14:textId="644E2B12" w:rsidR="00B05202" w:rsidRPr="004C1550" w:rsidRDefault="00B05202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 w:rsidRPr="004C1550">
        <w:rPr>
          <w:rFonts w:asciiTheme="minorHAnsi" w:hAnsiTheme="minorHAnsi" w:cstheme="minorHAnsi"/>
          <w:sz w:val="22"/>
          <w:szCs w:val="22"/>
        </w:rPr>
        <w:t>English: This important letter regarding your water and sewer utility is available in other languages at the internet address below.</w:t>
      </w:r>
    </w:p>
    <w:p w14:paraId="02496B90" w14:textId="4D8CB01C" w:rsidR="009C06FC" w:rsidRPr="009F06AB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9F06AB">
        <w:rPr>
          <w:rFonts w:asciiTheme="minorHAnsi" w:hAnsiTheme="minorHAnsi" w:cstheme="minorHAnsi"/>
          <w:sz w:val="22"/>
          <w:szCs w:val="22"/>
          <w:lang w:val="es-ES_tradnl"/>
        </w:rPr>
        <w:t>Spanish</w:t>
      </w:r>
      <w:proofErr w:type="spellEnd"/>
      <w:r w:rsidR="00DB215C" w:rsidRPr="009F06AB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E4981" w:rsidRPr="009F06AB">
        <w:rPr>
          <w:rFonts w:asciiTheme="minorHAnsi" w:hAnsiTheme="minorHAnsi" w:cstheme="minorHAnsi"/>
          <w:sz w:val="22"/>
          <w:szCs w:val="22"/>
          <w:lang w:val="es-ES_tradnl"/>
        </w:rPr>
        <w:t>Esta importante carta con respecto a su servicio de agua y alcantarillado está disponible en otros idiomas en la dirección de Internet a continuación.</w:t>
      </w:r>
    </w:p>
    <w:p w14:paraId="61964783" w14:textId="04EA8863" w:rsidR="009C06FC" w:rsidRPr="009F06AB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Korean</w:t>
      </w:r>
      <w:r w:rsidR="00DB215C" w:rsidRPr="009F06AB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E4981" w:rsidRPr="009F06AB">
        <w:rPr>
          <w:rFonts w:ascii="Malgun Gothic" w:eastAsia="Malgun Gothic" w:hAnsi="Malgun Gothic" w:cs="Malgun Gothic"/>
          <w:sz w:val="22"/>
          <w:szCs w:val="22"/>
          <w:lang w:val="es-ES_tradnl"/>
        </w:rPr>
        <w:t>귀하의 물 및 하수도 유틸리티에 관한 이 중요한 편지는 아래 인터넷 주소에서 다른 언어로 제공됩니다.</w:t>
      </w:r>
    </w:p>
    <w:p w14:paraId="563251FD" w14:textId="156A0869" w:rsidR="009C06FC" w:rsidRPr="009F06AB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Arabic</w:t>
      </w:r>
      <w:r w:rsidR="00DB215C" w:rsidRPr="009F06AB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E4981" w:rsidRPr="009F06AB">
        <w:rPr>
          <w:rFonts w:asciiTheme="minorHAnsi" w:hAnsiTheme="minorHAnsi" w:cstheme="minorHAnsi"/>
          <w:sz w:val="22"/>
          <w:szCs w:val="22"/>
          <w:lang w:val="es-ES_tradnl"/>
        </w:rPr>
        <w:t>هذه الرسالة الهامة المتعلقة بالماء والصرف الصحي الخاص بك متاحة بلغات أخرى في عنوان الإنترنت أدناه.</w:t>
      </w:r>
    </w:p>
    <w:p w14:paraId="4A256D0A" w14:textId="7A5573D8" w:rsidR="009C06FC" w:rsidRPr="009F06AB" w:rsidRDefault="00DB215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Filipino:</w:t>
      </w:r>
      <w:r w:rsidR="009C06FC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E4981" w:rsidRPr="009F06AB">
        <w:rPr>
          <w:rFonts w:asciiTheme="minorHAnsi" w:hAnsiTheme="minorHAnsi" w:cstheme="minorHAnsi"/>
          <w:sz w:val="22"/>
          <w:szCs w:val="22"/>
          <w:lang w:val="es-ES_tradnl"/>
        </w:rPr>
        <w:t>Ang mahalagang liham na ito hinggil sa iyong tubig at panahi utility ay makukuha sa iba pang mga wika sa internet address sa ibaba.</w:t>
      </w:r>
    </w:p>
    <w:p w14:paraId="32D367AB" w14:textId="769FFD26" w:rsidR="009C06FC" w:rsidRPr="009F06AB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Russian</w:t>
      </w:r>
      <w:r w:rsidR="00DB215C" w:rsidRPr="009F06AB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E4981" w:rsidRPr="009F06AB">
        <w:rPr>
          <w:rFonts w:asciiTheme="minorHAnsi" w:hAnsiTheme="minorHAnsi" w:cstheme="minorHAnsi"/>
          <w:sz w:val="22"/>
          <w:szCs w:val="22"/>
          <w:lang w:val="es-ES_tradnl"/>
        </w:rPr>
        <w:t>Это важное письмо, касающееся вашей канализации и канализации, доступно на других языках по интернет-адресу ниже.</w:t>
      </w:r>
    </w:p>
    <w:p w14:paraId="1A7624F9" w14:textId="4175177C" w:rsidR="004E4981" w:rsidRPr="009F06AB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="Nirmala UI" w:hAnsi="Nirmala UI" w:cs="Nirmala U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Hindi</w:t>
      </w:r>
      <w:r w:rsidR="00DB215C" w:rsidRPr="009F06AB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E4981" w:rsidRPr="009F06AB">
        <w:rPr>
          <w:rFonts w:ascii="Nirmala UI" w:hAnsi="Nirmala UI" w:cs="Nirmala UI"/>
          <w:sz w:val="22"/>
          <w:szCs w:val="22"/>
          <w:lang w:val="es-ES_tradnl"/>
        </w:rPr>
        <w:t>आपके पानी और सीवर उपयोगिता के बारे में यह महत्वपूर्ण पत्र नीचे इंटरनेट पते पर अन्य भाषाओं में उपलब्ध है।</w:t>
      </w:r>
    </w:p>
    <w:p w14:paraId="4412BE46" w14:textId="617338D3" w:rsidR="004E4981" w:rsidRPr="009F06AB" w:rsidRDefault="004E4981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jc w:val="center"/>
        <w:rPr>
          <w:rFonts w:ascii="Calibri" w:hAnsi="Calibri" w:cs="Calibri"/>
          <w:color w:val="263F6A" w:themeColor="text2"/>
          <w:sz w:val="22"/>
          <w:szCs w:val="22"/>
          <w:lang w:val="es-ES_tradnl"/>
        </w:rPr>
      </w:pPr>
      <w:r w:rsidRPr="009F06AB">
        <w:rPr>
          <w:rFonts w:ascii="Calibri" w:hAnsi="Calibri" w:cs="Calibri"/>
          <w:color w:val="263F6A" w:themeColor="text2"/>
          <w:lang w:val="es-ES_tradnl"/>
        </w:rPr>
        <w:t>https://www.lynnwoodwa.gov/Government/Departments/Finance/Finance/Utility-Billing</w:t>
      </w:r>
    </w:p>
    <w:p w14:paraId="3D345457" w14:textId="68458111" w:rsidR="00FA2E6D" w:rsidRPr="009F06AB" w:rsidRDefault="00FA2E6D" w:rsidP="00497BC5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</w:pPr>
      <w:r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lastRenderedPageBreak/>
        <w:t>Ci</w:t>
      </w:r>
      <w:r w:rsidR="00497BC5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 xml:space="preserve">UDAD DE </w:t>
      </w:r>
      <w:r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 xml:space="preserve">Lynnwood </w:t>
      </w:r>
      <w:r w:rsidR="00013B68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>Utili</w:t>
      </w:r>
      <w:r w:rsidR="00497BC5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 xml:space="preserve">DADES </w:t>
      </w:r>
      <w:r w:rsidR="00013B68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>(</w:t>
      </w:r>
      <w:r w:rsidR="00497BC5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>AGUA</w:t>
      </w:r>
      <w:r w:rsidR="00013B68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 xml:space="preserve">, </w:t>
      </w:r>
      <w:r w:rsidR="00497BC5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>AGUAS NEGRAS</w:t>
      </w:r>
      <w:r w:rsidR="00013B68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 xml:space="preserve"> &amp; </w:t>
      </w:r>
      <w:r w:rsidR="00497BC5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>AGUAS LLUVIAS</w:t>
      </w:r>
      <w:r w:rsidR="00013B68" w:rsidRPr="009F06AB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es-ES_tradnl"/>
        </w:rPr>
        <w:t>)</w:t>
      </w:r>
    </w:p>
    <w:p w14:paraId="5C4C8E2B" w14:textId="52B89C62" w:rsidR="004E4981" w:rsidRPr="009F06AB" w:rsidRDefault="00497BC5" w:rsidP="00497BC5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Su cuenta tiene un saldo atrasado</w:t>
      </w:r>
      <w:r w:rsidR="004D0CB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El pago de todos los cargos actuales y atrasados es requerido. La ciudad anima a todos los clientes a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realizar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pagos regulares para reducir o eliminar los saldos pendientes de pago.</w:t>
      </w:r>
      <w:r w:rsidR="004E498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Los pagos pueden ser realizados utilizando el sitio web de la Ciudad, por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teléfono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, correo postal, o el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buzón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de pagos en la alcaldía</w:t>
      </w:r>
      <w:r w:rsidR="004C730E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ver abajo</w:t>
      </w:r>
      <w:r w:rsidR="004C730E" w:rsidRPr="009F06AB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4E4981" w:rsidRPr="009F06AB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4C730E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 D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ebido a la pandemia del </w:t>
      </w:r>
      <w:r w:rsidR="004C730E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COVID-19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las oficinas de la Ciudad en la actualidad se encuentran cerradas al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público</w:t>
      </w:r>
      <w:r w:rsidR="004C730E" w:rsidRPr="009F06A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FF6E773" w14:textId="3D3A0B86" w:rsidR="004E4981" w:rsidRPr="009F06AB" w:rsidRDefault="00497BC5" w:rsidP="00742E92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La Ciudad ha creado un plan de pago para ayudarle a clientes residenciales para hacer pagos que vayan reduciendo su balance atrasado.</w:t>
      </w:r>
      <w:r w:rsidR="004E498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Con un plan de pago establecido</w:t>
      </w:r>
      <w:r w:rsidR="00742E9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4C1550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742E9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a </w:t>
      </w:r>
      <w:r w:rsidR="004C1550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742E9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iudad no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impondrá</w:t>
      </w:r>
      <w:r w:rsidR="00742E9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multas por pago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tardí</w:t>
      </w:r>
      <w:r w:rsidR="009F06AB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42E9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, no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desconectará</w:t>
      </w:r>
      <w:r w:rsidR="00742E9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el servicio de agua ni tampoco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colocará</w:t>
      </w:r>
      <w:r w:rsidR="00742E92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un embargo en la propiedad donde se brinda el servicio. </w:t>
      </w:r>
    </w:p>
    <w:p w14:paraId="51C87041" w14:textId="4D5D0D46" w:rsidR="00197093" w:rsidRPr="009F06AB" w:rsidRDefault="00742E92" w:rsidP="00742E92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Asistencia financiera con utilidades y renta/hipoteca </w:t>
      </w:r>
      <w:r w:rsidR="009F06AB" w:rsidRPr="009F06AB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está</w:t>
      </w:r>
      <w:r w:rsidRPr="009F06AB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disponible para hogares de bajos ingresos que califiquen. La asistencia financiera para negocios locales puede estar disponible. Llame al 2-1-1 para </w:t>
      </w:r>
      <w:r w:rsidR="009F06AB" w:rsidRPr="009F06AB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información</w:t>
      </w:r>
      <w:r w:rsidRPr="009F06AB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. </w:t>
      </w:r>
    </w:p>
    <w:p w14:paraId="345B558E" w14:textId="44AEB26B" w:rsidR="00282EFA" w:rsidRPr="009F06AB" w:rsidRDefault="00742E92" w:rsidP="00742E92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La ciudad ofrece tarifas reducidas y rebajas sobre los cargos de utilidades para hogares de bajos ingresos que califiquen.</w:t>
      </w:r>
      <w:r w:rsidR="00282EFA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Hay cuatro programas disponibles para usted. Las tarifas reducidas y rebajas aplican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únicamente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para cargos nuevos.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Información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adicional y el formulario de solicitud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están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disponibles en el sitio web de la </w:t>
      </w:r>
      <w:r w:rsidR="00BF078E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iudad</w:t>
      </w:r>
      <w:r w:rsidR="00013B68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vea abajo</w:t>
      </w:r>
      <w:r w:rsidR="00013B68" w:rsidRPr="009F06AB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282EFA" w:rsidRPr="009F06A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B544CED" w14:textId="34BE1D83" w:rsidR="00770A35" w:rsidRPr="009F06AB" w:rsidRDefault="00742E92" w:rsidP="00A62D7A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A menos que se realice el pago completo o s</w:t>
      </w:r>
      <w:r w:rsidR="00BF078E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establezca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un plan de pago voluntario, la Ciudad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podrá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toma</w:t>
      </w:r>
      <w:r w:rsidR="00BF078E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pasos adicionales para asegurar el cobro de los saldos pendiente</w:t>
      </w:r>
      <w:r w:rsidR="00BF078E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6F477D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Por ejemplo</w:t>
      </w:r>
      <w:r w:rsidR="006778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la Ciudad puede: Impone</w:t>
      </w:r>
      <w:r w:rsidR="00BF078E">
        <w:rPr>
          <w:rFonts w:asciiTheme="minorHAnsi" w:hAnsiTheme="minorHAnsi" w:cstheme="minorHAnsi"/>
          <w:sz w:val="22"/>
          <w:szCs w:val="22"/>
          <w:lang w:val="es-ES_tradnl"/>
        </w:rPr>
        <w:t>r</w:t>
      </w:r>
      <w:bookmarkStart w:id="0" w:name="_GoBack"/>
      <w:bookmarkEnd w:id="0"/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multas por pagos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tardíos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; desconectar el servicio</w:t>
      </w:r>
      <w:r w:rsidR="006778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; 3. 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3E624A" w:rsidRPr="009F06AB">
        <w:rPr>
          <w:rFonts w:asciiTheme="minorHAnsi" w:hAnsiTheme="minorHAnsi" w:cstheme="minorHAnsi"/>
          <w:sz w:val="22"/>
          <w:szCs w:val="22"/>
          <w:lang w:val="es-ES_tradnl"/>
        </w:rPr>
        <w:t>rea</w:t>
      </w:r>
      <w:r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r un embargo 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>por utilidades sobre la propiedad</w:t>
      </w:r>
      <w:r w:rsidR="003E624A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; 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="003E624A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4. 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="00677861" w:rsidRPr="009F06AB">
        <w:rPr>
          <w:rFonts w:asciiTheme="minorHAnsi" w:hAnsiTheme="minorHAnsi" w:cstheme="minorHAnsi"/>
          <w:sz w:val="22"/>
          <w:szCs w:val="22"/>
          <w:lang w:val="es-ES_tradnl"/>
        </w:rPr>
        <w:t>efer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ir la cuenta a una agencia de cobros. Cuando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ocurre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la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desconexión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>, se considera que la propiedad no cumple con la sanidad y no se puede ocupar.</w:t>
      </w:r>
      <w:r w:rsidR="00677861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La ciudad tiene esperanzas de que los clientes </w:t>
      </w:r>
      <w:r w:rsidR="009F06AB" w:rsidRPr="009F06AB">
        <w:rPr>
          <w:rFonts w:asciiTheme="minorHAnsi" w:hAnsiTheme="minorHAnsi" w:cstheme="minorHAnsi"/>
          <w:sz w:val="22"/>
          <w:szCs w:val="22"/>
          <w:lang w:val="es-ES_tradnl"/>
        </w:rPr>
        <w:t>harán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 sus pagos y que estas medidas de cobro no serán necesarias. </w:t>
      </w:r>
    </w:p>
    <w:p w14:paraId="5A5FF992" w14:textId="04F229AE" w:rsidR="00474A49" w:rsidRPr="009F06AB" w:rsidRDefault="00474A49" w:rsidP="009C06F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F06AB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>or favor realice sus pagos de utilidades para que su saldo atrasado sea minimizado o eliminado</w:t>
      </w:r>
      <w:r w:rsidR="00E02C36" w:rsidRPr="009F06A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A62D7A" w:rsidRPr="009F06AB">
        <w:rPr>
          <w:rFonts w:asciiTheme="minorHAnsi" w:hAnsiTheme="minorHAnsi" w:cstheme="minorHAnsi"/>
          <w:sz w:val="22"/>
          <w:szCs w:val="22"/>
          <w:lang w:val="es-ES_tradnl"/>
        </w:rPr>
        <w:t>Deseamos continuarle sirviendo</w:t>
      </w:r>
      <w:r w:rsidR="00E02C36" w:rsidRPr="009F06A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389719E2" w14:textId="1855840F" w:rsidR="00474A49" w:rsidRPr="009F06AB" w:rsidRDefault="009F06AB" w:rsidP="00707876">
      <w:pPr>
        <w:jc w:val="center"/>
        <w:rPr>
          <w:rFonts w:asciiTheme="minorHAnsi" w:hAnsiTheme="minorHAnsi" w:cstheme="minorHAnsi"/>
          <w:b/>
          <w:bCs/>
          <w:color w:val="263F6A" w:themeColor="accent1"/>
          <w:sz w:val="28"/>
          <w:szCs w:val="28"/>
          <w:lang w:val="es-ES_tradnl"/>
        </w:rPr>
      </w:pPr>
      <w:r w:rsidRPr="009F06AB">
        <w:rPr>
          <w:rFonts w:asciiTheme="minorHAnsi" w:hAnsiTheme="minorHAnsi" w:cstheme="minorHAnsi"/>
          <w:b/>
          <w:bCs/>
          <w:color w:val="263F6A" w:themeColor="accent1"/>
          <w:sz w:val="28"/>
          <w:szCs w:val="28"/>
          <w:lang w:val="es-ES_tradnl"/>
        </w:rPr>
        <w:t>INFORMACIÓN</w:t>
      </w:r>
      <w:r w:rsidR="00A62D7A" w:rsidRPr="009F06AB">
        <w:rPr>
          <w:rFonts w:asciiTheme="minorHAnsi" w:hAnsiTheme="minorHAnsi" w:cstheme="minorHAnsi"/>
          <w:b/>
          <w:bCs/>
          <w:color w:val="263F6A" w:themeColor="accent1"/>
          <w:sz w:val="28"/>
          <w:szCs w:val="28"/>
          <w:lang w:val="es-ES_tradnl"/>
        </w:rPr>
        <w:t xml:space="preserve"> DE CONTACTO DE LA CIUDAD DE </w:t>
      </w:r>
      <w:r w:rsidR="00766F7F" w:rsidRPr="009F06AB">
        <w:rPr>
          <w:rFonts w:asciiTheme="minorHAnsi" w:hAnsiTheme="minorHAnsi" w:cstheme="minorHAnsi"/>
          <w:b/>
          <w:bCs/>
          <w:color w:val="263F6A" w:themeColor="accent1"/>
          <w:sz w:val="28"/>
          <w:szCs w:val="28"/>
          <w:lang w:val="es-ES_tradnl"/>
        </w:rPr>
        <w:t xml:space="preserve">LYNNWOOD </w:t>
      </w:r>
      <w:r w:rsidR="00707876" w:rsidRPr="009F06AB">
        <w:rPr>
          <w:rFonts w:asciiTheme="minorHAnsi" w:hAnsiTheme="minorHAnsi" w:cstheme="minorHAnsi"/>
          <w:b/>
          <w:bCs/>
          <w:color w:val="263F6A" w:themeColor="accent1"/>
          <w:sz w:val="28"/>
          <w:szCs w:val="28"/>
          <w:lang w:val="es-ES_tradnl"/>
        </w:rPr>
        <w:t>UTILI</w:t>
      </w:r>
      <w:r w:rsidR="00A62D7A" w:rsidRPr="009F06AB">
        <w:rPr>
          <w:rFonts w:asciiTheme="minorHAnsi" w:hAnsiTheme="minorHAnsi" w:cstheme="minorHAnsi"/>
          <w:b/>
          <w:bCs/>
          <w:color w:val="263F6A" w:themeColor="accent1"/>
          <w:sz w:val="28"/>
          <w:szCs w:val="28"/>
          <w:lang w:val="es-ES_tradnl"/>
        </w:rPr>
        <w:t>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3343"/>
        <w:gridCol w:w="3417"/>
      </w:tblGrid>
      <w:tr w:rsidR="00C464F8" w:rsidRPr="009F06AB" w14:paraId="69B86CE8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39782B" w14:textId="10B478D8" w:rsidR="00C464F8" w:rsidRPr="009F06AB" w:rsidRDefault="00A62D7A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1" w:name="_Hlk78205287"/>
            <w:r w:rsidRPr="009F06AB">
              <w:rPr>
                <w:rFonts w:asciiTheme="minorHAnsi" w:hAnsiTheme="minorHAnsi" w:cstheme="minorHAnsi"/>
                <w:lang w:val="es-ES_tradnl"/>
              </w:rPr>
              <w:t xml:space="preserve">   </w:t>
            </w:r>
            <w:r w:rsidR="00C464F8" w:rsidRPr="009F06AB">
              <w:rPr>
                <w:rFonts w:asciiTheme="minorHAnsi" w:hAnsiTheme="minorHAnsi" w:cstheme="minorHAnsi"/>
                <w:lang w:val="es-ES_tradnl"/>
              </w:rPr>
              <w:t>Ci</w:t>
            </w:r>
            <w:r w:rsidRPr="009F06AB">
              <w:rPr>
                <w:rFonts w:asciiTheme="minorHAnsi" w:hAnsiTheme="minorHAnsi" w:cstheme="minorHAnsi"/>
                <w:lang w:val="es-ES_tradnl"/>
              </w:rPr>
              <w:t xml:space="preserve">udad de </w:t>
            </w:r>
            <w:r w:rsidR="00C464F8" w:rsidRPr="009F06AB">
              <w:rPr>
                <w:rFonts w:asciiTheme="minorHAnsi" w:hAnsiTheme="minorHAnsi" w:cstheme="minorHAnsi"/>
                <w:lang w:val="es-ES_tradnl"/>
              </w:rPr>
              <w:t>Lynnwood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shd w:val="clear" w:color="auto" w:fill="E4F1EF" w:themeFill="accent2" w:themeFillTint="33"/>
            <w:vAlign w:val="center"/>
          </w:tcPr>
          <w:p w14:paraId="7EC3ECBF" w14:textId="161863DF" w:rsidR="00C464F8" w:rsidRPr="009F06AB" w:rsidRDefault="009F06AB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Información</w:t>
            </w:r>
            <w:r w:rsidR="00A62D7A" w:rsidRPr="009F06AB">
              <w:rPr>
                <w:rFonts w:asciiTheme="minorHAnsi" w:hAnsiTheme="minorHAnsi" w:cstheme="minorHAnsi"/>
                <w:lang w:val="es-ES_tradnl"/>
              </w:rPr>
              <w:t xml:space="preserve"> general de cuentas</w:t>
            </w:r>
            <w:r w:rsidR="00707876" w:rsidRPr="009F06AB"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D5E6794" w14:textId="57F8C324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425-670-5</w:t>
            </w:r>
            <w:r w:rsidR="00164DFA" w:rsidRPr="009F06AB">
              <w:rPr>
                <w:rFonts w:asciiTheme="minorHAnsi" w:hAnsiTheme="minorHAnsi" w:cstheme="minorHAnsi"/>
                <w:lang w:val="es-ES_tradnl"/>
              </w:rPr>
              <w:t>170</w:t>
            </w:r>
          </w:p>
        </w:tc>
      </w:tr>
      <w:bookmarkEnd w:id="1"/>
      <w:tr w:rsidR="00C464F8" w:rsidRPr="009F06AB" w14:paraId="57264C32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6336FFCF" w14:textId="73525C94" w:rsidR="00C464F8" w:rsidRPr="009F06AB" w:rsidRDefault="00B04809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 xml:space="preserve">  </w:t>
            </w:r>
            <w:r w:rsidR="00A62D7A" w:rsidRPr="009F06AB">
              <w:rPr>
                <w:rFonts w:asciiTheme="minorHAnsi" w:hAnsiTheme="minorHAnsi" w:cstheme="minorHAnsi"/>
                <w:lang w:val="es-ES_tradnl"/>
              </w:rPr>
              <w:t xml:space="preserve">Equipo de Cobros </w:t>
            </w: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00087E2" w14:textId="6865E6A7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F69C138" w14:textId="40113520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ub@Lynnwoodwa.gov</w:t>
            </w:r>
          </w:p>
        </w:tc>
      </w:tr>
      <w:tr w:rsidR="00C464F8" w:rsidRPr="009F06AB" w14:paraId="6D0F4723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46059C" w14:textId="77777777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vAlign w:val="center"/>
          </w:tcPr>
          <w:p w14:paraId="60521DA4" w14:textId="539E689A" w:rsidR="00C464F8" w:rsidRPr="009F06AB" w:rsidRDefault="00A62D7A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 xml:space="preserve">Tarifas reducidas </w:t>
            </w:r>
            <w:r w:rsidR="00707876" w:rsidRPr="009F06AB">
              <w:rPr>
                <w:rFonts w:asciiTheme="minorHAnsi" w:hAnsiTheme="minorHAnsi" w:cstheme="minorHAnsi"/>
                <w:lang w:val="es-ES_tradnl"/>
              </w:rPr>
              <w:t xml:space="preserve">&amp; </w:t>
            </w:r>
            <w:r w:rsidR="00C464F8" w:rsidRPr="009F06AB">
              <w:rPr>
                <w:rFonts w:asciiTheme="minorHAnsi" w:hAnsiTheme="minorHAnsi" w:cstheme="minorHAnsi"/>
                <w:lang w:val="es-ES_tradnl"/>
              </w:rPr>
              <w:t>reba</w:t>
            </w:r>
            <w:r w:rsidRPr="009F06AB">
              <w:rPr>
                <w:rFonts w:asciiTheme="minorHAnsi" w:hAnsiTheme="minorHAnsi" w:cstheme="minorHAnsi"/>
                <w:lang w:val="es-ES_tradnl"/>
              </w:rPr>
              <w:t>jas</w:t>
            </w:r>
            <w:r w:rsidR="00C464F8" w:rsidRPr="009F06AB"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4948130A" w14:textId="0D78A163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425-670-5164</w:t>
            </w:r>
          </w:p>
        </w:tc>
      </w:tr>
      <w:tr w:rsidR="00C464F8" w:rsidRPr="009F06AB" w14:paraId="2C8CCA16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E29081E" w14:textId="77777777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0729513A" w14:textId="44B23485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571DC7F4" w14:textId="293C680B" w:rsidR="00C464F8" w:rsidRPr="009F06AB" w:rsidRDefault="00D36830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ubdiscounts@Lynnwoodwa.gov</w:t>
            </w:r>
          </w:p>
        </w:tc>
      </w:tr>
      <w:tr w:rsidR="00C464F8" w:rsidRPr="009F06AB" w14:paraId="6584A3CA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1D8D5AE0" w14:textId="77777777" w:rsidR="00C464F8" w:rsidRPr="009F06AB" w:rsidRDefault="00C464F8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2E3FF3E" w14:textId="3EF99584" w:rsidR="00C464F8" w:rsidRPr="009F06AB" w:rsidRDefault="005C2B81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Pa</w:t>
            </w:r>
            <w:r w:rsidR="00A62D7A" w:rsidRPr="009F06AB">
              <w:rPr>
                <w:rFonts w:asciiTheme="minorHAnsi" w:hAnsiTheme="minorHAnsi" w:cstheme="minorHAnsi"/>
                <w:lang w:val="es-ES_tradnl"/>
              </w:rPr>
              <w:t xml:space="preserve">gue en </w:t>
            </w:r>
            <w:r w:rsidR="009F06AB" w:rsidRPr="009F06AB">
              <w:rPr>
                <w:rFonts w:asciiTheme="minorHAnsi" w:hAnsiTheme="minorHAnsi" w:cstheme="minorHAnsi"/>
                <w:lang w:val="es-ES_tradnl"/>
              </w:rPr>
              <w:t>línea</w:t>
            </w:r>
            <w:r w:rsidRPr="009F06AB">
              <w:rPr>
                <w:rFonts w:asciiTheme="minorHAnsi" w:hAnsiTheme="minorHAnsi" w:cstheme="minorHAnsi"/>
                <w:lang w:val="es-ES_tradnl"/>
              </w:rPr>
              <w:t xml:space="preserve">. </w:t>
            </w:r>
            <w:r w:rsidR="00A62D7A" w:rsidRPr="009F06AB">
              <w:rPr>
                <w:rFonts w:asciiTheme="minorHAnsi" w:hAnsiTheme="minorHAnsi" w:cstheme="minorHAnsi"/>
                <w:lang w:val="es-ES_tradnl"/>
              </w:rPr>
              <w:t xml:space="preserve">Busque </w:t>
            </w:r>
            <w:r w:rsidR="00D36830" w:rsidRPr="009F06AB">
              <w:rPr>
                <w:rFonts w:asciiTheme="minorHAnsi" w:hAnsiTheme="minorHAnsi" w:cstheme="minorHAnsi"/>
                <w:lang w:val="es-ES_tradnl"/>
              </w:rPr>
              <w:t xml:space="preserve">“utility billing” </w:t>
            </w:r>
            <w:r w:rsidR="00A62D7A" w:rsidRPr="009F06AB">
              <w:rPr>
                <w:rFonts w:asciiTheme="minorHAnsi" w:hAnsiTheme="minorHAnsi" w:cstheme="minorHAnsi"/>
                <w:lang w:val="es-ES_tradnl"/>
              </w:rPr>
              <w:t xml:space="preserve">en sitio web de la Ciudad 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0FC3CC63" w14:textId="4151DA32" w:rsidR="00C464F8" w:rsidRPr="009F06AB" w:rsidRDefault="00D36830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www.Lynnwoodwa.gov</w:t>
            </w:r>
          </w:p>
        </w:tc>
      </w:tr>
      <w:tr w:rsidR="005C2B81" w:rsidRPr="009F06AB" w14:paraId="0E5FDB8F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28E503E2" w14:textId="2E27B451" w:rsidR="005C2B81" w:rsidRPr="009F06AB" w:rsidRDefault="00B04809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 xml:space="preserve">  </w:t>
            </w:r>
            <w:r w:rsidR="00A62D7A" w:rsidRPr="009F06AB">
              <w:rPr>
                <w:rFonts w:asciiTheme="minorHAnsi" w:hAnsiTheme="minorHAnsi" w:cstheme="minorHAnsi"/>
                <w:lang w:val="es-ES_tradnl"/>
              </w:rPr>
              <w:t xml:space="preserve">Cajero </w:t>
            </w:r>
            <w:r w:rsidR="009F06AB" w:rsidRPr="009F06AB">
              <w:rPr>
                <w:rFonts w:asciiTheme="minorHAnsi" w:hAnsiTheme="minorHAnsi" w:cstheme="minorHAnsi"/>
                <w:lang w:val="es-ES_tradnl"/>
              </w:rPr>
              <w:t>telefónico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74D2BCCE" w14:textId="1662A4C5" w:rsidR="005C2B81" w:rsidRPr="009F06AB" w:rsidRDefault="005C2B81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Pa</w:t>
            </w:r>
            <w:r w:rsidR="00A62D7A" w:rsidRPr="009F06AB">
              <w:rPr>
                <w:rFonts w:asciiTheme="minorHAnsi" w:hAnsiTheme="minorHAnsi" w:cstheme="minorHAnsi"/>
                <w:lang w:val="es-ES_tradnl"/>
              </w:rPr>
              <w:t xml:space="preserve">gue por </w:t>
            </w:r>
            <w:r w:rsidR="009F06AB" w:rsidRPr="009F06AB">
              <w:rPr>
                <w:rFonts w:asciiTheme="minorHAnsi" w:hAnsiTheme="minorHAnsi" w:cstheme="minorHAnsi"/>
                <w:lang w:val="es-ES_tradnl"/>
              </w:rPr>
              <w:t>teléfono</w:t>
            </w:r>
            <w:r w:rsidRPr="009F06AB"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53A22485" w14:textId="307E6C49" w:rsidR="005C2B81" w:rsidRPr="009F06AB" w:rsidRDefault="005C2B81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425-670-5000</w:t>
            </w:r>
          </w:p>
        </w:tc>
      </w:tr>
    </w:tbl>
    <w:p w14:paraId="39237EC0" w14:textId="24A41B9A" w:rsidR="00C464F8" w:rsidRPr="009F06AB" w:rsidRDefault="00C464F8" w:rsidP="00707876">
      <w:pPr>
        <w:spacing w:after="0"/>
        <w:rPr>
          <w:rFonts w:asciiTheme="minorHAnsi" w:hAnsiTheme="minorHAnsi" w:cstheme="minorHAnsi"/>
          <w:sz w:val="14"/>
          <w:szCs w:val="1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330"/>
        <w:gridCol w:w="3415"/>
      </w:tblGrid>
      <w:tr w:rsidR="00164DFA" w:rsidRPr="009F06AB" w14:paraId="06B39776" w14:textId="77777777" w:rsidTr="00B04809">
        <w:tc>
          <w:tcPr>
            <w:tcW w:w="2610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346F08D9" w14:textId="06FAF718" w:rsidR="00164DFA" w:rsidRPr="009F06AB" w:rsidRDefault="00A62D7A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 xml:space="preserve">Asistencia Financiera </w:t>
            </w:r>
            <w:r w:rsidR="00B736DD" w:rsidRPr="009F06AB">
              <w:rPr>
                <w:rFonts w:asciiTheme="minorHAnsi" w:hAnsiTheme="minorHAnsi" w:cstheme="minorHAnsi"/>
                <w:lang w:val="es-ES_tradnl"/>
              </w:rPr>
              <w:t>&amp;</w:t>
            </w:r>
            <w:r w:rsidR="00164DFA" w:rsidRPr="009F06AB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9F06AB">
              <w:rPr>
                <w:rFonts w:asciiTheme="minorHAnsi" w:hAnsiTheme="minorHAnsi" w:cstheme="minorHAnsi"/>
                <w:lang w:val="es-ES_tradnl"/>
              </w:rPr>
              <w:t>servicios sociales</w:t>
            </w:r>
          </w:p>
        </w:tc>
        <w:tc>
          <w:tcPr>
            <w:tcW w:w="3330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22B32E52" w14:textId="3DFE6972" w:rsidR="00164DFA" w:rsidRPr="009F06AB" w:rsidRDefault="009F06AB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Teléfono</w:t>
            </w:r>
            <w:r w:rsidR="00164DFA" w:rsidRPr="009F06AB"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15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4F04D030" w14:textId="3A297C27" w:rsidR="002D4996" w:rsidRPr="009F06AB" w:rsidRDefault="00164DFA" w:rsidP="00B04809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9F06AB">
              <w:rPr>
                <w:rFonts w:asciiTheme="minorHAnsi" w:hAnsiTheme="minorHAnsi" w:cstheme="minorHAnsi"/>
                <w:lang w:val="es-ES_tradnl"/>
              </w:rPr>
              <w:t>2</w:t>
            </w:r>
            <w:r w:rsidR="002D4996" w:rsidRPr="009F06AB">
              <w:rPr>
                <w:rFonts w:asciiTheme="minorHAnsi" w:hAnsiTheme="minorHAnsi" w:cstheme="minorHAnsi"/>
                <w:lang w:val="es-ES_tradnl"/>
              </w:rPr>
              <w:t>-</w:t>
            </w:r>
            <w:r w:rsidRPr="009F06AB">
              <w:rPr>
                <w:rFonts w:asciiTheme="minorHAnsi" w:hAnsiTheme="minorHAnsi" w:cstheme="minorHAnsi"/>
                <w:lang w:val="es-ES_tradnl"/>
              </w:rPr>
              <w:t>1</w:t>
            </w:r>
            <w:r w:rsidR="002D4996" w:rsidRPr="009F06AB">
              <w:rPr>
                <w:rFonts w:asciiTheme="minorHAnsi" w:hAnsiTheme="minorHAnsi" w:cstheme="minorHAnsi"/>
                <w:lang w:val="es-ES_tradnl"/>
              </w:rPr>
              <w:t>-</w:t>
            </w:r>
            <w:r w:rsidRPr="009F06AB">
              <w:rPr>
                <w:rFonts w:asciiTheme="minorHAnsi" w:hAnsiTheme="minorHAnsi" w:cstheme="minorHAnsi"/>
                <w:lang w:val="es-ES_tradnl"/>
              </w:rPr>
              <w:t>1</w:t>
            </w:r>
            <w:r w:rsidR="002D4996" w:rsidRPr="009F06AB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9F06AB" w:rsidRPr="009F06AB">
              <w:rPr>
                <w:rFonts w:asciiTheme="minorHAnsi" w:hAnsiTheme="minorHAnsi" w:cstheme="minorHAnsi"/>
                <w:lang w:val="es-ES_tradnl"/>
              </w:rPr>
              <w:t>o</w:t>
            </w:r>
            <w:r w:rsidR="002D4996" w:rsidRPr="009F06AB">
              <w:rPr>
                <w:rFonts w:asciiTheme="minorHAnsi" w:hAnsiTheme="minorHAnsi" w:cstheme="minorHAnsi"/>
                <w:lang w:val="es-ES_tradnl"/>
              </w:rPr>
              <w:t xml:space="preserve"> 800-223-8145</w:t>
            </w:r>
          </w:p>
        </w:tc>
      </w:tr>
    </w:tbl>
    <w:p w14:paraId="46C3BA89" w14:textId="6287846A" w:rsidR="00164DFA" w:rsidRPr="009F06AB" w:rsidRDefault="00164DFA" w:rsidP="00B05202">
      <w:pPr>
        <w:spacing w:after="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3EFB60C" w14:textId="7B3B6E8D" w:rsidR="002E4F2F" w:rsidRPr="009F06AB" w:rsidRDefault="00446A94" w:rsidP="00766F7F">
      <w:pPr>
        <w:spacing w:before="120" w:after="240"/>
        <w:jc w:val="center"/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</w:pPr>
      <w:r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lastRenderedPageBreak/>
        <w:t xml:space="preserve">EVITE </w:t>
      </w:r>
      <w:r w:rsidR="009F06AB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>MULTAS</w:t>
      </w:r>
      <w:r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 POR PAGO </w:t>
      </w:r>
      <w:r w:rsidR="009F06AB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>TARDÍO</w:t>
      </w:r>
      <w:r w:rsidR="002E4F2F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, </w:t>
      </w:r>
      <w:r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>DESCONEXIONES,</w:t>
      </w:r>
      <w:r w:rsidR="002E4F2F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 </w:t>
      </w:r>
      <w:r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>EMBARGOS</w:t>
      </w:r>
      <w:r w:rsidR="002E4F2F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 </w:t>
      </w:r>
      <w:r w:rsidR="00AB2F31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>– PA</w:t>
      </w:r>
      <w:r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GUE TODOS LOS CARGOS DE UTILIDADES DE LA CIUDAD DE </w:t>
      </w:r>
      <w:r w:rsidR="00AB2F31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LYNNWOOD </w:t>
      </w:r>
      <w:r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O </w:t>
      </w:r>
      <w:r w:rsidR="009F06AB"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>ANÓTESE</w:t>
      </w:r>
      <w:r w:rsidRPr="009F06AB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  <w:t xml:space="preserve"> PARA UN PLAN DE PAGO. </w:t>
      </w:r>
    </w:p>
    <w:p w14:paraId="4B4B0E5B" w14:textId="08F6399B" w:rsidR="00766F7F" w:rsidRPr="009F06AB" w:rsidRDefault="00446A94" w:rsidP="00766F7F">
      <w:pPr>
        <w:tabs>
          <w:tab w:val="left" w:pos="2430"/>
        </w:tabs>
        <w:jc w:val="center"/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es-ES_tradnl"/>
        </w:rPr>
      </w:pPr>
      <w:r w:rsidRPr="009F06AB">
        <w:rPr>
          <w:rFonts w:asciiTheme="minorHAnsi" w:hAnsiTheme="minorHAnsi" w:cstheme="minorHAnsi"/>
          <w:color w:val="C00000"/>
          <w:highlight w:val="yellow"/>
          <w:bdr w:val="single" w:sz="4" w:space="0" w:color="263F6A" w:themeColor="accent1"/>
          <w:lang w:val="es-ES_tradnl"/>
        </w:rPr>
        <w:t>INFORMACIÓN IMPORTANTE SOBRE SU CUENTA DE UTILIDADES</w:t>
      </w:r>
    </w:p>
    <w:sectPr w:rsidR="00766F7F" w:rsidRPr="009F06AB" w:rsidSect="00446A9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AEE1" w14:textId="77777777" w:rsidR="004364A7" w:rsidRDefault="004364A7">
      <w:r>
        <w:separator/>
      </w:r>
    </w:p>
  </w:endnote>
  <w:endnote w:type="continuationSeparator" w:id="0">
    <w:p w14:paraId="12D19B4F" w14:textId="77777777" w:rsidR="004364A7" w:rsidRDefault="004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2186" w14:textId="7F4F5799" w:rsidR="00E02C36" w:rsidRPr="00E02C36" w:rsidRDefault="00A62D7A" w:rsidP="00013B68">
    <w:pPr>
      <w:pStyle w:val="Footer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 xml:space="preserve">12 de </w:t>
    </w:r>
    <w:r w:rsidR="00B04809">
      <w:rPr>
        <w:rFonts w:asciiTheme="minorHAnsi" w:hAnsiTheme="minorHAnsi" w:cstheme="minorHAnsi"/>
        <w:noProof/>
        <w:sz w:val="20"/>
        <w:szCs w:val="20"/>
      </w:rPr>
      <w:t>Nov</w:t>
    </w:r>
    <w:r>
      <w:rPr>
        <w:rFonts w:asciiTheme="minorHAnsi" w:hAnsiTheme="minorHAnsi" w:cstheme="minorHAnsi"/>
        <w:noProof/>
        <w:sz w:val="20"/>
        <w:szCs w:val="20"/>
      </w:rPr>
      <w:t>i</w:t>
    </w:r>
    <w:r w:rsidR="00B04809">
      <w:rPr>
        <w:rFonts w:asciiTheme="minorHAnsi" w:hAnsiTheme="minorHAnsi" w:cstheme="minorHAnsi"/>
        <w:noProof/>
        <w:sz w:val="20"/>
        <w:szCs w:val="20"/>
      </w:rPr>
      <w:t>embr</w:t>
    </w:r>
    <w:r>
      <w:rPr>
        <w:rFonts w:asciiTheme="minorHAnsi" w:hAnsiTheme="minorHAnsi" w:cstheme="minorHAnsi"/>
        <w:noProof/>
        <w:sz w:val="20"/>
        <w:szCs w:val="20"/>
      </w:rPr>
      <w:t>e</w:t>
    </w:r>
    <w:r w:rsidR="00B04809"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>20</w:t>
    </w:r>
    <w:r w:rsidR="00013B68" w:rsidRPr="00013B68">
      <w:rPr>
        <w:rFonts w:asciiTheme="minorHAnsi" w:hAnsiTheme="minorHAnsi" w:cstheme="minorHAnsi"/>
        <w:noProof/>
        <w:sz w:val="20"/>
        <w:szCs w:val="20"/>
      </w:rPr>
      <w:t>21</w:t>
    </w:r>
    <w:r w:rsidR="00013B68" w:rsidRPr="00013B68">
      <w:rPr>
        <w:rFonts w:asciiTheme="minorHAnsi" w:hAnsiTheme="minorHAnsi" w:cstheme="minorHAnsi"/>
        <w:noProof/>
        <w:sz w:val="20"/>
        <w:szCs w:val="20"/>
      </w:rPr>
      <w:tab/>
    </w:r>
    <w:sdt>
      <w:sdtPr>
        <w:rPr>
          <w:rFonts w:asciiTheme="minorHAnsi" w:hAnsiTheme="minorHAnsi" w:cstheme="minorHAnsi"/>
          <w:noProof/>
          <w:sz w:val="20"/>
          <w:szCs w:val="20"/>
        </w:rPr>
        <w:id w:val="-524860074"/>
        <w:docPartObj>
          <w:docPartGallery w:val="Page Numbers (Bottom of Page)"/>
          <w:docPartUnique/>
        </w:docPartObj>
      </w:sdtPr>
      <w:sdtEndPr/>
      <w:sdtContent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begin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instrText xml:space="preserve"> PAGE   \* MERGEFORMAT </w:instrTex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separate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0390" w14:textId="2F7ACACD" w:rsidR="00E90C79" w:rsidRPr="00DE2547" w:rsidRDefault="00F40B77" w:rsidP="00D4183B">
    <w:pPr>
      <w:pStyle w:val="Footer"/>
      <w:tabs>
        <w:tab w:val="clear" w:pos="8640"/>
        <w:tab w:val="right" w:pos="9720"/>
      </w:tabs>
      <w:ind w:left="-1080" w:right="-1080"/>
      <w:jc w:val="center"/>
      <w:rPr>
        <w:rFonts w:ascii="Gill Sans MT" w:hAnsi="Gill Sans M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1F454" wp14:editId="6C922271">
              <wp:simplePos x="0" y="0"/>
              <wp:positionH relativeFrom="column">
                <wp:posOffset>-695325</wp:posOffset>
              </wp:positionH>
              <wp:positionV relativeFrom="paragraph">
                <wp:posOffset>-70485</wp:posOffset>
              </wp:positionV>
              <wp:extent cx="6858000" cy="0"/>
              <wp:effectExtent l="9525" t="15240" r="19050" b="1333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63F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C322DF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-5.55pt" to="485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" strokecolor="#263f6a" strokeweight="1.5pt"/>
          </w:pict>
        </mc:Fallback>
      </mc:AlternateContent>
    </w:r>
    <w:r w:rsidR="00E90C79" w:rsidRPr="00DE2547">
      <w:rPr>
        <w:rFonts w:ascii="Gill Sans MT" w:hAnsi="Gill Sans MT"/>
        <w:sz w:val="18"/>
        <w:szCs w:val="18"/>
      </w:rPr>
      <w:t>19100 44</w:t>
    </w:r>
    <w:r w:rsidR="00C96DA2">
      <w:rPr>
        <w:rFonts w:ascii="Gill Sans MT" w:hAnsi="Gill Sans MT"/>
        <w:sz w:val="18"/>
        <w:szCs w:val="18"/>
        <w:vertAlign w:val="superscript"/>
      </w:rPr>
      <w:t>TH</w:t>
    </w:r>
    <w:r w:rsidR="00E90C79" w:rsidRPr="00DE2547">
      <w:rPr>
        <w:rFonts w:ascii="Gill Sans MT" w:hAnsi="Gill Sans MT"/>
        <w:sz w:val="18"/>
        <w:szCs w:val="18"/>
      </w:rPr>
      <w:t xml:space="preserve"> Ave</w:t>
    </w:r>
    <w:r w:rsidR="00456DB1">
      <w:rPr>
        <w:rFonts w:ascii="Gill Sans MT" w:hAnsi="Gill Sans MT"/>
        <w:sz w:val="18"/>
        <w:szCs w:val="18"/>
      </w:rPr>
      <w:t>nue</w:t>
    </w:r>
    <w:r w:rsidR="00E90C79" w:rsidRPr="00DE2547">
      <w:rPr>
        <w:rFonts w:ascii="Gill Sans MT" w:hAnsi="Gill Sans MT"/>
        <w:sz w:val="18"/>
        <w:szCs w:val="18"/>
      </w:rPr>
      <w:t xml:space="preserve"> W</w:t>
    </w:r>
    <w:r w:rsidR="00456DB1">
      <w:rPr>
        <w:rFonts w:ascii="Gill Sans MT" w:hAnsi="Gill Sans MT"/>
        <w:sz w:val="18"/>
        <w:szCs w:val="18"/>
      </w:rPr>
      <w:t>est</w:t>
    </w:r>
    <w:r w:rsidR="00C96DA2">
      <w:rPr>
        <w:rFonts w:ascii="Gill Sans MT" w:hAnsi="Gill Sans MT"/>
        <w:sz w:val="18"/>
        <w:szCs w:val="18"/>
      </w:rPr>
      <w:t xml:space="preserve">  |  </w:t>
    </w:r>
    <w:r w:rsidR="00E90C79" w:rsidRPr="00DE2547">
      <w:rPr>
        <w:rFonts w:ascii="Gill Sans MT" w:hAnsi="Gill Sans MT"/>
        <w:sz w:val="18"/>
        <w:szCs w:val="18"/>
      </w:rPr>
      <w:t>Lynnwood, WA 980</w:t>
    </w:r>
    <w:r w:rsidR="00456DB1">
      <w:rPr>
        <w:rFonts w:ascii="Gill Sans MT" w:hAnsi="Gill Sans MT"/>
        <w:sz w:val="18"/>
        <w:szCs w:val="18"/>
      </w:rPr>
      <w:t>3</w:t>
    </w:r>
    <w:r w:rsidR="00E90C79" w:rsidRPr="00DE2547">
      <w:rPr>
        <w:rFonts w:ascii="Gill Sans MT" w:hAnsi="Gill Sans MT"/>
        <w:sz w:val="18"/>
        <w:szCs w:val="18"/>
      </w:rPr>
      <w:t>6  |  Phone: 425-670-5</w:t>
    </w:r>
    <w:r w:rsidR="00E94C7B">
      <w:rPr>
        <w:rFonts w:ascii="Gill Sans MT" w:hAnsi="Gill Sans MT"/>
        <w:sz w:val="18"/>
        <w:szCs w:val="18"/>
      </w:rPr>
      <w:t>0</w:t>
    </w:r>
    <w:r w:rsidR="00E90C79" w:rsidRPr="00DE2547">
      <w:rPr>
        <w:rFonts w:ascii="Gill Sans MT" w:hAnsi="Gill Sans MT"/>
        <w:sz w:val="18"/>
        <w:szCs w:val="18"/>
      </w:rPr>
      <w:t>00  |  Fax: 425-</w:t>
    </w:r>
    <w:r w:rsidR="00E94C7B">
      <w:rPr>
        <w:rFonts w:ascii="Gill Sans MT" w:hAnsi="Gill Sans MT"/>
        <w:sz w:val="18"/>
        <w:szCs w:val="18"/>
      </w:rPr>
      <w:t>771-6144</w:t>
    </w:r>
    <w:r w:rsidR="00E90C79" w:rsidRPr="00DE2547">
      <w:rPr>
        <w:rFonts w:ascii="Gill Sans MT" w:hAnsi="Gill Sans MT"/>
        <w:sz w:val="18"/>
        <w:szCs w:val="18"/>
      </w:rPr>
      <w:t xml:space="preserve">  |  www.</w:t>
    </w:r>
    <w:r w:rsidR="00EB56D8">
      <w:rPr>
        <w:rFonts w:ascii="Gill Sans MT" w:hAnsi="Gill Sans MT"/>
        <w:sz w:val="18"/>
        <w:szCs w:val="18"/>
      </w:rPr>
      <w:t>LynnwoodWA.gov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53D59" w14:textId="77777777" w:rsidR="004364A7" w:rsidRDefault="004364A7">
      <w:r>
        <w:separator/>
      </w:r>
    </w:p>
  </w:footnote>
  <w:footnote w:type="continuationSeparator" w:id="0">
    <w:p w14:paraId="75AA5B29" w14:textId="77777777" w:rsidR="004364A7" w:rsidRDefault="0043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DB5D" w14:textId="6669F387" w:rsidR="00E90C79" w:rsidRDefault="00F40B77" w:rsidP="00766F7F">
    <w:pPr>
      <w:pStyle w:val="Header"/>
      <w:tabs>
        <w:tab w:val="left" w:pos="2520"/>
        <w:tab w:val="left" w:pos="5760"/>
      </w:tabs>
      <w:jc w:val="right"/>
    </w:pPr>
    <w:r>
      <w:rPr>
        <w:noProof/>
      </w:rPr>
      <w:drawing>
        <wp:inline distT="0" distB="0" distL="0" distR="0" wp14:anchorId="43361A24" wp14:editId="34C43675">
          <wp:extent cx="1800225" cy="4572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128D1" w14:textId="77777777" w:rsidR="00E90C79" w:rsidRPr="00423793" w:rsidRDefault="00E90C79" w:rsidP="00ED3642">
    <w:pPr>
      <w:pStyle w:val="Header"/>
      <w:tabs>
        <w:tab w:val="left" w:pos="2520"/>
        <w:tab w:val="left" w:pos="5760"/>
      </w:tabs>
      <w:ind w:left="-108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B2F31" w14:paraId="029146A7" w14:textId="77777777" w:rsidTr="00AB2F31">
      <w:tc>
        <w:tcPr>
          <w:tcW w:w="4675" w:type="dxa"/>
        </w:tcPr>
        <w:p w14:paraId="3629EF81" w14:textId="19D24838" w:rsidR="00AB2F31" w:rsidRPr="00F17F95" w:rsidRDefault="00F17F95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  <w:lang w:val="es-ES"/>
            </w:rPr>
          </w:pPr>
          <w:r w:rsidRPr="00F17F95">
            <w:rPr>
              <w:rFonts w:ascii="Calibri" w:hAnsi="Calibri" w:cs="Calibri"/>
              <w:sz w:val="20"/>
              <w:szCs w:val="20"/>
              <w:lang w:val="es-ES"/>
            </w:rPr>
            <w:t>Departamento de Cobros de Utilidades</w:t>
          </w:r>
        </w:p>
        <w:p w14:paraId="3F2B451D" w14:textId="77777777" w:rsidR="00AB2F31" w:rsidRPr="004C1550" w:rsidRDefault="00AB2F31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  <w:lang w:val="es-ES"/>
            </w:rPr>
          </w:pPr>
          <w:r w:rsidRPr="004C1550">
            <w:rPr>
              <w:rFonts w:ascii="Calibri" w:hAnsi="Calibri" w:cs="Calibri"/>
              <w:sz w:val="20"/>
              <w:szCs w:val="20"/>
              <w:lang w:val="es-ES"/>
            </w:rPr>
            <w:t>19100 44</w:t>
          </w:r>
          <w:r w:rsidRPr="004C1550">
            <w:rPr>
              <w:rFonts w:ascii="Calibri" w:hAnsi="Calibri" w:cs="Calibri"/>
              <w:sz w:val="20"/>
              <w:szCs w:val="20"/>
              <w:vertAlign w:val="superscript"/>
              <w:lang w:val="es-ES"/>
            </w:rPr>
            <w:t>th</w:t>
          </w:r>
          <w:r w:rsidRPr="004C1550">
            <w:rPr>
              <w:rFonts w:ascii="Calibri" w:hAnsi="Calibri" w:cs="Calibri"/>
              <w:sz w:val="20"/>
              <w:szCs w:val="20"/>
              <w:lang w:val="es-ES"/>
            </w:rPr>
            <w:t xml:space="preserve"> Ave W</w:t>
          </w:r>
        </w:p>
        <w:p w14:paraId="56E7709C" w14:textId="34618193" w:rsidR="00AB2F31" w:rsidRPr="00AB2F31" w:rsidRDefault="00AB2F31" w:rsidP="00AB2F31">
          <w:pPr>
            <w:pStyle w:val="Header"/>
            <w:spacing w:after="0"/>
            <w:rPr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Lynnwood, WA  98036</w:t>
          </w:r>
        </w:p>
      </w:tc>
      <w:tc>
        <w:tcPr>
          <w:tcW w:w="4675" w:type="dxa"/>
        </w:tcPr>
        <w:p w14:paraId="07D7F2FB" w14:textId="5A79C46B" w:rsidR="00AB2F31" w:rsidRDefault="00AB2F31" w:rsidP="00AB2F3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5DEB8CF" wp14:editId="031512AA">
                <wp:extent cx="2371725" cy="597535"/>
                <wp:effectExtent l="0" t="0" r="9525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45C2D3" w14:textId="23227E40" w:rsidR="00E90C79" w:rsidRDefault="00E90C79" w:rsidP="00AB2F31">
    <w:pPr>
      <w:pStyle w:val="Header"/>
      <w:jc w:val="right"/>
    </w:pPr>
  </w:p>
  <w:p w14:paraId="0C4FCD55" w14:textId="77777777" w:rsidR="00F202DC" w:rsidRPr="007460F9" w:rsidRDefault="00F202DC" w:rsidP="00F202DC">
    <w:pPr>
      <w:pStyle w:val="Header"/>
      <w:ind w:left="-108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553F"/>
    <w:multiLevelType w:val="hybridMultilevel"/>
    <w:tmpl w:val="334A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854B4"/>
    <w:multiLevelType w:val="hybridMultilevel"/>
    <w:tmpl w:val="9F0E4D98"/>
    <w:lvl w:ilvl="0" w:tplc="B964C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F6A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>
      <o:colormru v:ext="edit" colors="#ff9133,#263f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6"/>
    <w:rsid w:val="000025AB"/>
    <w:rsid w:val="00002AD8"/>
    <w:rsid w:val="00013B68"/>
    <w:rsid w:val="00034074"/>
    <w:rsid w:val="00044DEC"/>
    <w:rsid w:val="000851DF"/>
    <w:rsid w:val="000859AF"/>
    <w:rsid w:val="000C0F70"/>
    <w:rsid w:val="0011419B"/>
    <w:rsid w:val="001253C0"/>
    <w:rsid w:val="0016150A"/>
    <w:rsid w:val="00164DFA"/>
    <w:rsid w:val="0017775B"/>
    <w:rsid w:val="00181AC5"/>
    <w:rsid w:val="00183844"/>
    <w:rsid w:val="00197093"/>
    <w:rsid w:val="002070A6"/>
    <w:rsid w:val="002167A7"/>
    <w:rsid w:val="00221223"/>
    <w:rsid w:val="00225829"/>
    <w:rsid w:val="0026488B"/>
    <w:rsid w:val="0026696B"/>
    <w:rsid w:val="00273311"/>
    <w:rsid w:val="00282EFA"/>
    <w:rsid w:val="00292766"/>
    <w:rsid w:val="002A0826"/>
    <w:rsid w:val="002B100D"/>
    <w:rsid w:val="002D4996"/>
    <w:rsid w:val="002E4F2F"/>
    <w:rsid w:val="00307505"/>
    <w:rsid w:val="00310946"/>
    <w:rsid w:val="00314050"/>
    <w:rsid w:val="00333E4D"/>
    <w:rsid w:val="0037440B"/>
    <w:rsid w:val="003C78EE"/>
    <w:rsid w:val="003E3E21"/>
    <w:rsid w:val="003E624A"/>
    <w:rsid w:val="00423793"/>
    <w:rsid w:val="004364A7"/>
    <w:rsid w:val="004455C7"/>
    <w:rsid w:val="00446A94"/>
    <w:rsid w:val="00446C27"/>
    <w:rsid w:val="00456DB1"/>
    <w:rsid w:val="00474A49"/>
    <w:rsid w:val="00474ED2"/>
    <w:rsid w:val="00497BC5"/>
    <w:rsid w:val="004C1550"/>
    <w:rsid w:val="004C730E"/>
    <w:rsid w:val="004D0CB2"/>
    <w:rsid w:val="004E4981"/>
    <w:rsid w:val="00507A13"/>
    <w:rsid w:val="00530D20"/>
    <w:rsid w:val="00582322"/>
    <w:rsid w:val="005A6661"/>
    <w:rsid w:val="005C2B81"/>
    <w:rsid w:val="005D17FD"/>
    <w:rsid w:val="00602C53"/>
    <w:rsid w:val="0061577E"/>
    <w:rsid w:val="00622AC7"/>
    <w:rsid w:val="00622BEB"/>
    <w:rsid w:val="00646A4C"/>
    <w:rsid w:val="00677861"/>
    <w:rsid w:val="006D3FDD"/>
    <w:rsid w:val="006D7366"/>
    <w:rsid w:val="006F477D"/>
    <w:rsid w:val="00707876"/>
    <w:rsid w:val="00720C68"/>
    <w:rsid w:val="00742E92"/>
    <w:rsid w:val="007460F9"/>
    <w:rsid w:val="007608B8"/>
    <w:rsid w:val="00766E26"/>
    <w:rsid w:val="00766F7F"/>
    <w:rsid w:val="0076705A"/>
    <w:rsid w:val="00770A35"/>
    <w:rsid w:val="007847C1"/>
    <w:rsid w:val="007E0DE4"/>
    <w:rsid w:val="00842A29"/>
    <w:rsid w:val="00883CDB"/>
    <w:rsid w:val="008A358F"/>
    <w:rsid w:val="008E38C4"/>
    <w:rsid w:val="008F5ECD"/>
    <w:rsid w:val="0092272A"/>
    <w:rsid w:val="00924BDD"/>
    <w:rsid w:val="00927C17"/>
    <w:rsid w:val="00965523"/>
    <w:rsid w:val="00982E4C"/>
    <w:rsid w:val="009C06FC"/>
    <w:rsid w:val="009F06AB"/>
    <w:rsid w:val="00A0114C"/>
    <w:rsid w:val="00A0540A"/>
    <w:rsid w:val="00A24761"/>
    <w:rsid w:val="00A27FEA"/>
    <w:rsid w:val="00A34F7A"/>
    <w:rsid w:val="00A62D7A"/>
    <w:rsid w:val="00A65616"/>
    <w:rsid w:val="00AB2F31"/>
    <w:rsid w:val="00B04809"/>
    <w:rsid w:val="00B05202"/>
    <w:rsid w:val="00B70799"/>
    <w:rsid w:val="00B736DD"/>
    <w:rsid w:val="00B76416"/>
    <w:rsid w:val="00B87213"/>
    <w:rsid w:val="00B87A1C"/>
    <w:rsid w:val="00BA474D"/>
    <w:rsid w:val="00BB4BD4"/>
    <w:rsid w:val="00BF078E"/>
    <w:rsid w:val="00C11258"/>
    <w:rsid w:val="00C231B8"/>
    <w:rsid w:val="00C33C97"/>
    <w:rsid w:val="00C34FDE"/>
    <w:rsid w:val="00C464F8"/>
    <w:rsid w:val="00C52848"/>
    <w:rsid w:val="00C6543C"/>
    <w:rsid w:val="00C90A64"/>
    <w:rsid w:val="00C96DA2"/>
    <w:rsid w:val="00CD0D67"/>
    <w:rsid w:val="00CD60BE"/>
    <w:rsid w:val="00CE4F60"/>
    <w:rsid w:val="00CE6E33"/>
    <w:rsid w:val="00CE7765"/>
    <w:rsid w:val="00D36830"/>
    <w:rsid w:val="00D37EE6"/>
    <w:rsid w:val="00D4183B"/>
    <w:rsid w:val="00D66348"/>
    <w:rsid w:val="00D9230F"/>
    <w:rsid w:val="00D966D5"/>
    <w:rsid w:val="00DB215C"/>
    <w:rsid w:val="00DE2547"/>
    <w:rsid w:val="00E02C36"/>
    <w:rsid w:val="00E36784"/>
    <w:rsid w:val="00E902EC"/>
    <w:rsid w:val="00E90C79"/>
    <w:rsid w:val="00E94C7B"/>
    <w:rsid w:val="00EA1ED8"/>
    <w:rsid w:val="00EA3186"/>
    <w:rsid w:val="00EB56D8"/>
    <w:rsid w:val="00ED3642"/>
    <w:rsid w:val="00F17F95"/>
    <w:rsid w:val="00F202DC"/>
    <w:rsid w:val="00F40B77"/>
    <w:rsid w:val="00FA2E6D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133,#263f6a"/>
    </o:shapedefaults>
    <o:shapelayout v:ext="edit">
      <o:idmap v:ext="edit" data="1"/>
    </o:shapelayout>
  </w:shapeDefaults>
  <w:decimalSymbol w:val="."/>
  <w:listSeparator w:val=","/>
  <w14:docId w14:val="3ED160BC"/>
  <w15:chartTrackingRefBased/>
  <w15:docId w15:val="{C1969FC9-C115-4FA8-B7BB-D41DF17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CE6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E6E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966D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2C36"/>
    <w:rPr>
      <w:sz w:val="24"/>
      <w:szCs w:val="24"/>
    </w:rPr>
  </w:style>
  <w:style w:type="table" w:styleId="TableGrid">
    <w:name w:val="Table Grid"/>
    <w:basedOn w:val="TableNormal"/>
    <w:rsid w:val="00C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0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roe\Desktop\Dept%20Letterhead\Public%20Works-Color.dotx" TargetMode="External"/></Relationships>
</file>

<file path=word/theme/theme1.xml><?xml version="1.0" encoding="utf-8"?>
<a:theme xmlns:a="http://schemas.openxmlformats.org/drawingml/2006/main" name="Office Theme">
  <a:themeElements>
    <a:clrScheme name="Lynnwood11">
      <a:dk1>
        <a:sysClr val="windowText" lastClr="000000"/>
      </a:dk1>
      <a:lt1>
        <a:sysClr val="window" lastClr="FFFFFF"/>
      </a:lt1>
      <a:dk2>
        <a:srgbClr val="263F6A"/>
      </a:dk2>
      <a:lt2>
        <a:srgbClr val="A8BDBC"/>
      </a:lt2>
      <a:accent1>
        <a:srgbClr val="263F6A"/>
      </a:accent1>
      <a:accent2>
        <a:srgbClr val="7BBBB2"/>
      </a:accent2>
      <a:accent3>
        <a:srgbClr val="FDE050"/>
      </a:accent3>
      <a:accent4>
        <a:srgbClr val="FF9012"/>
      </a:accent4>
      <a:accent5>
        <a:srgbClr val="006E62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beeb67e0-7af5-4cb5-89f4-d98c57e58ee3">Administrative Services</Dep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8A196AAF3B44AC56948FA72C45B8" ma:contentTypeVersion="1" ma:contentTypeDescription="Create a new document." ma:contentTypeScope="" ma:versionID="7b900e267940db6e1c6dea560cbe5d7d">
  <xsd:schema xmlns:xsd="http://www.w3.org/2001/XMLSchema" xmlns:p="http://schemas.microsoft.com/office/2006/metadata/properties" xmlns:ns2="beeb67e0-7af5-4cb5-89f4-d98c57e58ee3" targetNamespace="http://schemas.microsoft.com/office/2006/metadata/properties" ma:root="true" ma:fieldsID="4c23df2dca3f536f6334d5c85a1a1001" ns2:_="">
    <xsd:import namespace="beeb67e0-7af5-4cb5-89f4-d98c57e58ee3"/>
    <xsd:element name="properties">
      <xsd:complexType>
        <xsd:sequence>
          <xsd:element name="documentManagement">
            <xsd:complexType>
              <xsd:all>
                <xsd:element ref="ns2:De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eb67e0-7af5-4cb5-89f4-d98c57e58ee3" elementFormDefault="qualified">
    <xsd:import namespace="http://schemas.microsoft.com/office/2006/documentManagement/types"/>
    <xsd:element name="Dept" ma:index="8" nillable="true" ma:displayName="Department" ma:default="" ma:format="Dropdown" ma:internalName="Dept">
      <xsd:simpleType>
        <xsd:restriction base="dms:Choice">
          <xsd:enumeration value="Administrative Services"/>
          <xsd:enumeration value="Building Maintenance"/>
          <xsd:enumeration value="Community Affairs"/>
          <xsd:enumeration value="City Council"/>
          <xsd:enumeration value="Community Development"/>
          <xsd:enumeration value="Economic Development"/>
          <xsd:enumeration value="Executive"/>
          <xsd:enumeration value="Fire Department"/>
          <xsd:enumeration value="Human Resources"/>
          <xsd:enumeration value="Municipal Court"/>
          <xsd:enumeration value="Parks &amp; Recreation"/>
          <xsd:enumeration value="Police Department"/>
          <xsd:enumeration value="Public Works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BC4D99-0F3A-4A2D-8BAE-DBDB4E0830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477C54-CE97-4A7D-B8DA-A1A9C7027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7C3CB-4499-44EE-92F0-94399E43BE9B}">
  <ds:schemaRefs>
    <ds:schemaRef ds:uri="http://schemas.microsoft.com/office/2006/metadata/properties"/>
    <ds:schemaRef ds:uri="http://schemas.microsoft.com/office/infopath/2007/PartnerControls"/>
    <ds:schemaRef ds:uri="beeb67e0-7af5-4cb5-89f4-d98c57e58ee3"/>
  </ds:schemaRefs>
</ds:datastoreItem>
</file>

<file path=customXml/itemProps4.xml><?xml version="1.0" encoding="utf-8"?>
<ds:datastoreItem xmlns:ds="http://schemas.openxmlformats.org/officeDocument/2006/customXml" ds:itemID="{8F92A7C6-F6AF-4C5E-89C0-A737D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b67e0-7af5-4cb5-89f4-d98c57e58e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Works-Color.dotx</Template>
  <TotalTime>74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Lynnwood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Monroe</dc:creator>
  <cp:keywords/>
  <dc:description/>
  <cp:lastModifiedBy>santiago mauricio angulo aguilar</cp:lastModifiedBy>
  <cp:revision>6</cp:revision>
  <cp:lastPrinted>2021-02-05T16:43:00Z</cp:lastPrinted>
  <dcterms:created xsi:type="dcterms:W3CDTF">2021-11-09T02:56:00Z</dcterms:created>
  <dcterms:modified xsi:type="dcterms:W3CDTF">2021-11-09T04:11:00Z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0x0101009364B1D3F790DA48942E6256F7E3DC20</vt:lpwstr>
  </property>
  <property fmtid="{D5CDD505-2E9C-101B-9397-08002B2CF9AE}" pid="3" name="Order">
    <vt:lpwstr>100.000000000000</vt:lpwstr>
  </property>
</Properties>
</file>